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02EE" w:rsidRPr="00906BEE" w:rsidRDefault="003B02EE" w:rsidP="003B02EE">
      <w:pPr>
        <w:pStyle w:val="3"/>
        <w:spacing w:before="240"/>
        <w:ind w:right="-142"/>
      </w:pPr>
      <w:r>
        <w:t>Н</w:t>
      </w:r>
      <w:r w:rsidRPr="002556B8">
        <w:t xml:space="preserve">астраиваемые </w:t>
      </w:r>
      <w:r>
        <w:t xml:space="preserve">ЭМИТЕНТОМ </w:t>
      </w:r>
      <w:r w:rsidRPr="002556B8">
        <w:t xml:space="preserve">параметры программы </w:t>
      </w:r>
    </w:p>
    <w:p w:rsidR="003B02EE" w:rsidRPr="00C77BAE" w:rsidRDefault="003B02EE" w:rsidP="003B02EE">
      <w:pPr>
        <w:pStyle w:val="a4"/>
        <w:numPr>
          <w:ilvl w:val="0"/>
          <w:numId w:val="1"/>
        </w:numPr>
        <w:spacing w:line="240" w:lineRule="auto"/>
        <w:ind w:left="714" w:hanging="357"/>
        <w:rPr>
          <w:rFonts w:asciiTheme="majorHAnsi" w:eastAsiaTheme="majorEastAsia" w:hAnsiTheme="majorHAnsi" w:cstheme="majorBidi"/>
          <w:iCs/>
          <w:caps/>
          <w:sz w:val="18"/>
        </w:rPr>
      </w:pPr>
      <w:r w:rsidRPr="00C77BAE">
        <w:rPr>
          <w:rFonts w:asciiTheme="majorHAnsi" w:eastAsiaTheme="majorEastAsia" w:hAnsiTheme="majorHAnsi" w:cstheme="majorBidi"/>
          <w:iCs/>
          <w:sz w:val="18"/>
        </w:rPr>
        <w:t>наименование эмитента</w:t>
      </w:r>
    </w:p>
    <w:p w:rsidR="003B02EE" w:rsidRPr="00C77BAE" w:rsidRDefault="003B02EE" w:rsidP="003B02EE">
      <w:pPr>
        <w:pStyle w:val="a4"/>
        <w:numPr>
          <w:ilvl w:val="0"/>
          <w:numId w:val="1"/>
        </w:numPr>
        <w:spacing w:line="240" w:lineRule="auto"/>
        <w:ind w:left="714" w:hanging="357"/>
        <w:rPr>
          <w:rFonts w:asciiTheme="majorHAnsi" w:eastAsiaTheme="majorEastAsia" w:hAnsiTheme="majorHAnsi" w:cstheme="majorBidi"/>
          <w:iCs/>
          <w:caps/>
          <w:sz w:val="18"/>
        </w:rPr>
      </w:pPr>
      <w:r w:rsidRPr="00C77BAE">
        <w:rPr>
          <w:rFonts w:asciiTheme="majorHAnsi" w:eastAsiaTheme="majorEastAsia" w:hAnsiTheme="majorHAnsi" w:cstheme="majorBidi"/>
          <w:iCs/>
          <w:sz w:val="18"/>
        </w:rPr>
        <w:t>серия программы</w:t>
      </w:r>
    </w:p>
    <w:p w:rsidR="003B02EE" w:rsidRPr="00C77BAE" w:rsidRDefault="003B02EE" w:rsidP="003B02EE">
      <w:pPr>
        <w:pStyle w:val="a4"/>
        <w:numPr>
          <w:ilvl w:val="0"/>
          <w:numId w:val="1"/>
        </w:numPr>
        <w:spacing w:line="240" w:lineRule="auto"/>
        <w:ind w:left="714" w:hanging="357"/>
        <w:rPr>
          <w:rFonts w:asciiTheme="majorHAnsi" w:eastAsiaTheme="majorEastAsia" w:hAnsiTheme="majorHAnsi" w:cstheme="majorBidi"/>
          <w:iCs/>
          <w:caps/>
          <w:sz w:val="18"/>
        </w:rPr>
      </w:pPr>
      <w:r w:rsidRPr="00C77BAE">
        <w:rPr>
          <w:rFonts w:asciiTheme="majorHAnsi" w:eastAsiaTheme="majorEastAsia" w:hAnsiTheme="majorHAnsi" w:cstheme="majorBidi"/>
          <w:iCs/>
          <w:sz w:val="18"/>
        </w:rPr>
        <w:t>максимальный срок погашения</w:t>
      </w:r>
    </w:p>
    <w:p w:rsidR="003B02EE" w:rsidRPr="00C77BAE" w:rsidRDefault="003B02EE" w:rsidP="003B02EE">
      <w:pPr>
        <w:pStyle w:val="a4"/>
        <w:numPr>
          <w:ilvl w:val="0"/>
          <w:numId w:val="1"/>
        </w:numPr>
        <w:spacing w:line="240" w:lineRule="auto"/>
        <w:ind w:left="714" w:hanging="357"/>
        <w:rPr>
          <w:rFonts w:asciiTheme="majorHAnsi" w:eastAsiaTheme="majorEastAsia" w:hAnsiTheme="majorHAnsi" w:cstheme="majorBidi"/>
          <w:iCs/>
          <w:caps/>
          <w:sz w:val="18"/>
        </w:rPr>
      </w:pPr>
      <w:r w:rsidRPr="00C77BAE">
        <w:rPr>
          <w:rFonts w:asciiTheme="majorHAnsi" w:eastAsiaTheme="majorEastAsia" w:hAnsiTheme="majorHAnsi" w:cstheme="majorBidi"/>
          <w:iCs/>
          <w:sz w:val="18"/>
        </w:rPr>
        <w:t>максимальная</w:t>
      </w:r>
      <w:r w:rsidRPr="00C77BAE">
        <w:rPr>
          <w:sz w:val="18"/>
          <w:lang w:bidi="ru-RU"/>
        </w:rPr>
        <w:t xml:space="preserve"> </w:t>
      </w:r>
      <w:r w:rsidRPr="00C77BAE">
        <w:rPr>
          <w:rFonts w:asciiTheme="majorHAnsi" w:eastAsiaTheme="majorEastAsia" w:hAnsiTheme="majorHAnsi" w:cstheme="majorBidi"/>
          <w:iCs/>
          <w:sz w:val="18"/>
        </w:rPr>
        <w:t>сумма номинальных стоимостей (объем программы)</w:t>
      </w:r>
    </w:p>
    <w:p w:rsidR="003B02EE" w:rsidRPr="00C77BAE" w:rsidRDefault="003B02EE" w:rsidP="003B02EE">
      <w:pPr>
        <w:pStyle w:val="a4"/>
        <w:numPr>
          <w:ilvl w:val="0"/>
          <w:numId w:val="1"/>
        </w:numPr>
        <w:spacing w:line="240" w:lineRule="auto"/>
        <w:ind w:left="714" w:hanging="357"/>
        <w:rPr>
          <w:rFonts w:asciiTheme="majorHAnsi" w:eastAsiaTheme="majorEastAsia" w:hAnsiTheme="majorHAnsi" w:cstheme="majorBidi"/>
          <w:iCs/>
          <w:caps/>
          <w:sz w:val="18"/>
        </w:rPr>
      </w:pPr>
      <w:r w:rsidRPr="00C77BAE">
        <w:rPr>
          <w:rFonts w:asciiTheme="majorHAnsi" w:eastAsiaTheme="majorEastAsia" w:hAnsiTheme="majorHAnsi" w:cstheme="majorBidi"/>
          <w:iCs/>
          <w:sz w:val="18"/>
        </w:rPr>
        <w:t>реквизиты решения уполномоченного органа об утверждении программы</w:t>
      </w:r>
    </w:p>
    <w:p w:rsidR="003B02EE" w:rsidRPr="00C77BAE" w:rsidRDefault="003B02EE" w:rsidP="003B02EE">
      <w:pPr>
        <w:pStyle w:val="a4"/>
        <w:numPr>
          <w:ilvl w:val="0"/>
          <w:numId w:val="1"/>
        </w:numPr>
        <w:spacing w:line="240" w:lineRule="auto"/>
        <w:ind w:left="714" w:hanging="357"/>
        <w:rPr>
          <w:rFonts w:asciiTheme="majorHAnsi" w:eastAsiaTheme="majorEastAsia" w:hAnsiTheme="majorHAnsi" w:cstheme="majorBidi"/>
          <w:iCs/>
          <w:caps/>
          <w:sz w:val="18"/>
        </w:rPr>
      </w:pPr>
      <w:r w:rsidRPr="00C77BAE">
        <w:rPr>
          <w:rFonts w:asciiTheme="majorHAnsi" w:eastAsiaTheme="majorEastAsia" w:hAnsiTheme="majorHAnsi" w:cstheme="majorBidi"/>
          <w:iCs/>
          <w:sz w:val="18"/>
        </w:rPr>
        <w:t>место нахождения эмитента</w:t>
      </w:r>
    </w:p>
    <w:p w:rsidR="003B02EE" w:rsidRPr="00C77BAE" w:rsidRDefault="003B02EE" w:rsidP="003B02EE">
      <w:pPr>
        <w:pStyle w:val="a4"/>
        <w:numPr>
          <w:ilvl w:val="0"/>
          <w:numId w:val="1"/>
        </w:numPr>
        <w:spacing w:line="240" w:lineRule="auto"/>
        <w:ind w:left="714" w:hanging="357"/>
        <w:rPr>
          <w:rFonts w:asciiTheme="majorHAnsi" w:eastAsiaTheme="majorEastAsia" w:hAnsiTheme="majorHAnsi" w:cstheme="majorBidi"/>
          <w:iCs/>
          <w:caps/>
          <w:sz w:val="18"/>
        </w:rPr>
      </w:pPr>
      <w:r w:rsidRPr="00C77BAE">
        <w:rPr>
          <w:rFonts w:asciiTheme="majorHAnsi" w:eastAsiaTheme="majorEastAsia" w:hAnsiTheme="majorHAnsi" w:cstheme="majorBidi"/>
          <w:iCs/>
          <w:sz w:val="18"/>
        </w:rPr>
        <w:t xml:space="preserve">сведения о </w:t>
      </w:r>
      <w:r>
        <w:rPr>
          <w:rFonts w:asciiTheme="majorHAnsi" w:eastAsiaTheme="majorEastAsia" w:hAnsiTheme="majorHAnsi" w:cstheme="majorBidi"/>
          <w:iCs/>
          <w:sz w:val="18"/>
        </w:rPr>
        <w:t xml:space="preserve">лице, </w:t>
      </w:r>
      <w:r w:rsidRPr="00C77BAE">
        <w:rPr>
          <w:rFonts w:asciiTheme="majorHAnsi" w:eastAsiaTheme="majorEastAsia" w:hAnsiTheme="majorHAnsi" w:cstheme="majorBidi"/>
          <w:iCs/>
          <w:sz w:val="18"/>
        </w:rPr>
        <w:t>подпис</w:t>
      </w:r>
      <w:r>
        <w:rPr>
          <w:rFonts w:asciiTheme="majorHAnsi" w:eastAsiaTheme="majorEastAsia" w:hAnsiTheme="majorHAnsi" w:cstheme="majorBidi"/>
          <w:iCs/>
          <w:sz w:val="18"/>
        </w:rPr>
        <w:t>ывающем</w:t>
      </w:r>
      <w:r w:rsidRPr="00C77BAE">
        <w:rPr>
          <w:rFonts w:asciiTheme="majorHAnsi" w:eastAsiaTheme="majorEastAsia" w:hAnsiTheme="majorHAnsi" w:cstheme="majorBidi"/>
          <w:iCs/>
          <w:sz w:val="18"/>
        </w:rPr>
        <w:t xml:space="preserve"> программ</w:t>
      </w:r>
      <w:r>
        <w:rPr>
          <w:rFonts w:asciiTheme="majorHAnsi" w:eastAsiaTheme="majorEastAsia" w:hAnsiTheme="majorHAnsi" w:cstheme="majorBidi"/>
          <w:iCs/>
          <w:sz w:val="18"/>
        </w:rPr>
        <w:t>у</w:t>
      </w:r>
      <w:r w:rsidR="001E3503">
        <w:rPr>
          <w:rFonts w:asciiTheme="majorHAnsi" w:eastAsiaTheme="majorEastAsia" w:hAnsiTheme="majorHAnsi" w:cstheme="majorBidi"/>
          <w:iCs/>
          <w:sz w:val="18"/>
        </w:rPr>
        <w:t xml:space="preserve"> (ФИО, должность, основание)</w:t>
      </w:r>
    </w:p>
    <w:p w:rsidR="00637560" w:rsidRPr="000E42B6" w:rsidRDefault="00C77BAE" w:rsidP="00C77BAE">
      <w:pPr>
        <w:pStyle w:val="3"/>
        <w:spacing w:before="120"/>
        <w:ind w:right="-142"/>
        <w:rPr>
          <w:lang w:bidi="ru-RU"/>
        </w:rPr>
      </w:pPr>
      <w:r>
        <w:rPr>
          <w:lang w:bidi="ru-RU"/>
        </w:rPr>
        <w:t>ШАБЛОННЫЕ</w:t>
      </w:r>
      <w:r w:rsidR="00637560" w:rsidRPr="000E42B6">
        <w:rPr>
          <w:lang w:bidi="ru-RU"/>
        </w:rPr>
        <w:t xml:space="preserve"> </w:t>
      </w:r>
      <w:r w:rsidR="00637560">
        <w:rPr>
          <w:lang w:bidi="ru-RU"/>
        </w:rPr>
        <w:t xml:space="preserve">характеристики </w:t>
      </w:r>
      <w:r w:rsidR="009924C7">
        <w:rPr>
          <w:lang w:bidi="ru-RU"/>
        </w:rPr>
        <w:t xml:space="preserve">ПРОГРАММЫ 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2830"/>
        <w:gridCol w:w="6663"/>
      </w:tblGrid>
      <w:tr w:rsidR="009924C7" w:rsidRPr="00C77BAE" w:rsidTr="00774B58">
        <w:tc>
          <w:tcPr>
            <w:tcW w:w="2830" w:type="dxa"/>
          </w:tcPr>
          <w:p w:rsidR="009924C7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программа</w:t>
            </w:r>
          </w:p>
        </w:tc>
        <w:tc>
          <w:tcPr>
            <w:tcW w:w="6663" w:type="dxa"/>
          </w:tcPr>
          <w:p w:rsidR="009924C7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программа биржевых облигаций.</w:t>
            </w:r>
          </w:p>
        </w:tc>
      </w:tr>
      <w:tr w:rsidR="009924C7" w:rsidRPr="00C77BAE" w:rsidTr="00774B58">
        <w:tc>
          <w:tcPr>
            <w:tcW w:w="2830" w:type="dxa"/>
          </w:tcPr>
          <w:p w:rsidR="009924C7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вид облигаций</w:t>
            </w:r>
          </w:p>
        </w:tc>
        <w:tc>
          <w:tcPr>
            <w:tcW w:w="6663" w:type="dxa"/>
          </w:tcPr>
          <w:p w:rsidR="009924C7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биржевые облигации, неконвертируемые, бездокументарные.</w:t>
            </w:r>
          </w:p>
        </w:tc>
      </w:tr>
      <w:tr w:rsidR="009924C7" w:rsidRPr="00C77BAE" w:rsidTr="00774B58">
        <w:tc>
          <w:tcPr>
            <w:tcW w:w="2830" w:type="dxa"/>
          </w:tcPr>
          <w:p w:rsidR="009924C7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номинал облигаций</w:t>
            </w:r>
          </w:p>
        </w:tc>
        <w:tc>
          <w:tcPr>
            <w:tcW w:w="6663" w:type="dxa"/>
          </w:tcPr>
          <w:p w:rsidR="009924C7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 xml:space="preserve">не определяется, </w:t>
            </w:r>
            <w:r w:rsidR="0066049F" w:rsidRPr="0066049F">
              <w:rPr>
                <w:rFonts w:asciiTheme="majorHAnsi" w:eastAsiaTheme="majorEastAsia" w:hAnsiTheme="majorHAnsi" w:cstheme="majorBidi"/>
                <w:iCs/>
                <w:sz w:val="20"/>
              </w:rPr>
              <w:t>т.е. устанавливаются в решении о выпуске для отдельных выпусков</w:t>
            </w:r>
            <w:r w:rsidR="0066049F">
              <w:rPr>
                <w:rFonts w:asciiTheme="majorHAnsi" w:eastAsiaTheme="majorEastAsia" w:hAnsiTheme="majorHAnsi" w:cstheme="majorBidi"/>
                <w:iCs/>
                <w:sz w:val="20"/>
              </w:rPr>
              <w:t xml:space="preserve">, при этом </w:t>
            </w: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индексация не предусмотрена</w:t>
            </w:r>
          </w:p>
        </w:tc>
      </w:tr>
      <w:tr w:rsidR="009924C7" w:rsidRPr="00C77BAE" w:rsidTr="00774B58">
        <w:tc>
          <w:tcPr>
            <w:tcW w:w="2830" w:type="dxa"/>
          </w:tcPr>
          <w:p w:rsidR="009924C7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валюта номинала</w:t>
            </w:r>
          </w:p>
        </w:tc>
        <w:tc>
          <w:tcPr>
            <w:tcW w:w="6663" w:type="dxa"/>
          </w:tcPr>
          <w:p w:rsidR="009924C7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мультивалютная (российский рубль или иностранная валюта)</w:t>
            </w:r>
          </w:p>
        </w:tc>
      </w:tr>
      <w:tr w:rsidR="009924C7" w:rsidRPr="00C77BAE" w:rsidTr="00774B58">
        <w:tc>
          <w:tcPr>
            <w:tcW w:w="2830" w:type="dxa"/>
          </w:tcPr>
          <w:p w:rsidR="009924C7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срок действия программы</w:t>
            </w:r>
          </w:p>
        </w:tc>
        <w:tc>
          <w:tcPr>
            <w:tcW w:w="6663" w:type="dxa"/>
          </w:tcPr>
          <w:p w:rsidR="009924C7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бессрочная</w:t>
            </w:r>
          </w:p>
        </w:tc>
      </w:tr>
      <w:tr w:rsidR="006A4E8C" w:rsidRPr="00C77BAE" w:rsidTr="00774B58">
        <w:tc>
          <w:tcPr>
            <w:tcW w:w="2830" w:type="dxa"/>
          </w:tcPr>
          <w:p w:rsidR="006A4E8C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права владельцев</w:t>
            </w:r>
          </w:p>
        </w:tc>
        <w:tc>
          <w:tcPr>
            <w:tcW w:w="6663" w:type="dxa"/>
          </w:tcPr>
          <w:p w:rsidR="006A4E8C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программой не определяются, т.е. устанавливаются в решении о выпуске для отдельных выпусков</w:t>
            </w:r>
          </w:p>
        </w:tc>
      </w:tr>
      <w:tr w:rsidR="00B148AC" w:rsidRPr="00C77BAE" w:rsidTr="00774B58">
        <w:tc>
          <w:tcPr>
            <w:tcW w:w="2830" w:type="dxa"/>
          </w:tcPr>
          <w:p w:rsidR="00B148AC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способ размещения</w:t>
            </w:r>
          </w:p>
        </w:tc>
        <w:tc>
          <w:tcPr>
            <w:tcW w:w="6663" w:type="dxa"/>
          </w:tcPr>
          <w:p w:rsidR="00B148AC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открытая подписка</w:t>
            </w:r>
          </w:p>
        </w:tc>
      </w:tr>
      <w:tr w:rsidR="00B148AC" w:rsidRPr="00C77BAE" w:rsidTr="00774B58">
        <w:tc>
          <w:tcPr>
            <w:tcW w:w="2830" w:type="dxa"/>
          </w:tcPr>
          <w:p w:rsidR="00B148AC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место размещения</w:t>
            </w:r>
          </w:p>
        </w:tc>
        <w:tc>
          <w:tcPr>
            <w:tcW w:w="6663" w:type="dxa"/>
          </w:tcPr>
          <w:p w:rsidR="00B148AC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 xml:space="preserve">организованные торги </w:t>
            </w:r>
            <w:r w:rsidR="00690BA7"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ПАО</w:t>
            </w: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 xml:space="preserve"> </w:t>
            </w:r>
            <w:r w:rsidR="00690BA7"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М</w:t>
            </w: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 xml:space="preserve">осковская </w:t>
            </w:r>
            <w:r w:rsidR="00690BA7"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Б</w:t>
            </w: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иржа.</w:t>
            </w:r>
          </w:p>
        </w:tc>
      </w:tr>
      <w:tr w:rsidR="00B148AC" w:rsidRPr="00C77BAE" w:rsidTr="00774B58">
        <w:tc>
          <w:tcPr>
            <w:tcW w:w="2830" w:type="dxa"/>
          </w:tcPr>
          <w:p w:rsidR="00B148AC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валюта размещения</w:t>
            </w:r>
          </w:p>
        </w:tc>
        <w:tc>
          <w:tcPr>
            <w:tcW w:w="6663" w:type="dxa"/>
          </w:tcPr>
          <w:p w:rsidR="00B148AC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 xml:space="preserve">программой не определяется, т.е. устанавливается в </w:t>
            </w:r>
            <w:r w:rsidR="00690BA7"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ДСУР</w:t>
            </w: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 xml:space="preserve"> для отдельных выпусков</w:t>
            </w:r>
          </w:p>
        </w:tc>
      </w:tr>
      <w:tr w:rsidR="00B148AC" w:rsidRPr="00C77BAE" w:rsidTr="00774B58">
        <w:tc>
          <w:tcPr>
            <w:tcW w:w="2830" w:type="dxa"/>
          </w:tcPr>
          <w:p w:rsidR="00B148AC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организаторы размещения</w:t>
            </w:r>
          </w:p>
        </w:tc>
        <w:tc>
          <w:tcPr>
            <w:tcW w:w="6663" w:type="dxa"/>
          </w:tcPr>
          <w:p w:rsidR="00B148AC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 xml:space="preserve">программой не определяется, т.е. устанавливается в </w:t>
            </w:r>
            <w:r w:rsidR="00690BA7"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ДСУР</w:t>
            </w: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 xml:space="preserve"> для отдельных выпусков</w:t>
            </w:r>
          </w:p>
        </w:tc>
      </w:tr>
      <w:tr w:rsidR="009F5E5C" w:rsidRPr="00C77BAE" w:rsidTr="00774B58">
        <w:tc>
          <w:tcPr>
            <w:tcW w:w="2830" w:type="dxa"/>
          </w:tcPr>
          <w:p w:rsidR="009F5E5C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условия размещения</w:t>
            </w:r>
          </w:p>
        </w:tc>
        <w:tc>
          <w:tcPr>
            <w:tcW w:w="6663" w:type="dxa"/>
          </w:tcPr>
          <w:p w:rsidR="009F5E5C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программой не определяются, но опционально прописан порядок заключения предварительных договоров</w:t>
            </w:r>
            <w:r w:rsidR="0066049F">
              <w:rPr>
                <w:rFonts w:asciiTheme="majorHAnsi" w:eastAsiaTheme="majorEastAsia" w:hAnsiTheme="majorHAnsi" w:cstheme="majorBidi"/>
                <w:iCs/>
                <w:sz w:val="20"/>
              </w:rPr>
              <w:t xml:space="preserve"> (в целях возможности собирать книгу до регистрации выпуска)</w:t>
            </w:r>
          </w:p>
        </w:tc>
      </w:tr>
      <w:tr w:rsidR="00B148AC" w:rsidRPr="00C77BAE" w:rsidTr="00774B58">
        <w:tc>
          <w:tcPr>
            <w:tcW w:w="2830" w:type="dxa"/>
          </w:tcPr>
          <w:p w:rsidR="00B148AC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доход</w:t>
            </w:r>
          </w:p>
        </w:tc>
        <w:tc>
          <w:tcPr>
            <w:tcW w:w="6663" w:type="dxa"/>
          </w:tcPr>
          <w:p w:rsidR="00B148AC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размер дохода программой не определяется</w:t>
            </w:r>
            <w:r w:rsidR="000D7574">
              <w:rPr>
                <w:rFonts w:asciiTheme="majorHAnsi" w:eastAsiaTheme="majorEastAsia" w:hAnsiTheme="majorHAnsi" w:cstheme="majorBidi"/>
                <w:iCs/>
                <w:sz w:val="20"/>
              </w:rPr>
              <w:t xml:space="preserve">, </w:t>
            </w:r>
            <w:r w:rsidR="000D7574"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т.е. устанавливаются в решении о выпуске</w:t>
            </w:r>
            <w:r w:rsidR="0066049F">
              <w:rPr>
                <w:rFonts w:asciiTheme="majorHAnsi" w:eastAsiaTheme="majorEastAsia" w:hAnsiTheme="majorHAnsi" w:cstheme="majorBidi"/>
                <w:iCs/>
                <w:sz w:val="20"/>
              </w:rPr>
              <w:t xml:space="preserve"> (предполагается возможность размещения как купонных, так и бескупонных облигаций)</w:t>
            </w:r>
          </w:p>
        </w:tc>
      </w:tr>
      <w:tr w:rsidR="00B148AC" w:rsidRPr="00C77BAE" w:rsidTr="00774B58">
        <w:tc>
          <w:tcPr>
            <w:tcW w:w="2830" w:type="dxa"/>
          </w:tcPr>
          <w:p w:rsidR="00B148AC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выплата дохода</w:t>
            </w:r>
          </w:p>
        </w:tc>
        <w:tc>
          <w:tcPr>
            <w:tcW w:w="6663" w:type="dxa"/>
          </w:tcPr>
          <w:p w:rsidR="00B148AC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порядок и срок выплаты программой не определяется</w:t>
            </w:r>
            <w:r w:rsidR="000D7574">
              <w:rPr>
                <w:rFonts w:asciiTheme="majorHAnsi" w:eastAsiaTheme="majorEastAsia" w:hAnsiTheme="majorHAnsi" w:cstheme="majorBidi"/>
                <w:iCs/>
                <w:sz w:val="20"/>
              </w:rPr>
              <w:t xml:space="preserve">, </w:t>
            </w:r>
            <w:r w:rsidR="000D7574"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т.е. устанавливаются в решении о выпуске</w:t>
            </w:r>
            <w:r w:rsidR="0066049F">
              <w:rPr>
                <w:rFonts w:asciiTheme="majorHAnsi" w:eastAsiaTheme="majorEastAsia" w:hAnsiTheme="majorHAnsi" w:cstheme="majorBidi"/>
                <w:iCs/>
                <w:sz w:val="20"/>
              </w:rPr>
              <w:t xml:space="preserve"> (если выплата будет предусмотрена)</w:t>
            </w:r>
          </w:p>
        </w:tc>
      </w:tr>
      <w:tr w:rsidR="009924C7" w:rsidRPr="00C77BAE" w:rsidTr="00774B58">
        <w:tc>
          <w:tcPr>
            <w:tcW w:w="2830" w:type="dxa"/>
          </w:tcPr>
          <w:p w:rsidR="009924C7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срок погашения</w:t>
            </w:r>
          </w:p>
        </w:tc>
        <w:tc>
          <w:tcPr>
            <w:tcW w:w="6663" w:type="dxa"/>
          </w:tcPr>
          <w:p w:rsidR="009924C7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любой (в днях), в рамках максимального срока погашения</w:t>
            </w:r>
          </w:p>
        </w:tc>
      </w:tr>
      <w:tr w:rsidR="00B148AC" w:rsidRPr="00C77BAE" w:rsidTr="00774B58">
        <w:tc>
          <w:tcPr>
            <w:tcW w:w="2830" w:type="dxa"/>
          </w:tcPr>
          <w:p w:rsidR="00B148AC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форма погашения</w:t>
            </w:r>
          </w:p>
        </w:tc>
        <w:tc>
          <w:tcPr>
            <w:tcW w:w="6663" w:type="dxa"/>
          </w:tcPr>
          <w:p w:rsidR="00B148AC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денежные средства</w:t>
            </w:r>
          </w:p>
        </w:tc>
      </w:tr>
      <w:tr w:rsidR="006A4E8C" w:rsidRPr="00C77BAE" w:rsidTr="00774B58">
        <w:tc>
          <w:tcPr>
            <w:tcW w:w="2830" w:type="dxa"/>
          </w:tcPr>
          <w:p w:rsidR="006A4E8C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порядок и условия погашения</w:t>
            </w:r>
          </w:p>
        </w:tc>
        <w:tc>
          <w:tcPr>
            <w:tcW w:w="6663" w:type="dxa"/>
          </w:tcPr>
          <w:p w:rsidR="006A4E8C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 xml:space="preserve">программой не определяются, т.е. устанавливаются в решении о выпуске </w:t>
            </w:r>
          </w:p>
        </w:tc>
      </w:tr>
      <w:tr w:rsidR="009924C7" w:rsidRPr="00C77BAE" w:rsidTr="00774B58">
        <w:tc>
          <w:tcPr>
            <w:tcW w:w="2830" w:type="dxa"/>
          </w:tcPr>
          <w:p w:rsidR="009924C7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 xml:space="preserve">досрочное погашение </w:t>
            </w:r>
          </w:p>
          <w:p w:rsidR="009924C7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по усмотрению эмитента</w:t>
            </w:r>
          </w:p>
        </w:tc>
        <w:tc>
          <w:tcPr>
            <w:tcW w:w="6663" w:type="dxa"/>
          </w:tcPr>
          <w:p w:rsidR="009924C7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предусмотрено (для всех выпусков), но конкретные случаи и способы устанав</w:t>
            </w:r>
            <w:bookmarkStart w:id="0" w:name="_GoBack"/>
            <w:bookmarkEnd w:id="0"/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ливаются в решении о выпуске</w:t>
            </w:r>
          </w:p>
        </w:tc>
      </w:tr>
      <w:tr w:rsidR="009924C7" w:rsidRPr="00C77BAE" w:rsidTr="00774B58">
        <w:tc>
          <w:tcPr>
            <w:tcW w:w="2830" w:type="dxa"/>
          </w:tcPr>
          <w:p w:rsidR="009924C7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 xml:space="preserve">досрочное погашение </w:t>
            </w:r>
          </w:p>
          <w:p w:rsidR="009924C7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по требованию владельцев</w:t>
            </w:r>
          </w:p>
        </w:tc>
        <w:tc>
          <w:tcPr>
            <w:tcW w:w="6663" w:type="dxa"/>
          </w:tcPr>
          <w:p w:rsidR="009924C7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программой не определяется, т.е. возможность может устанавливаться для отдельных выпусков и тогда конкретные случаи и способы устанавливаются в решении о выпуске</w:t>
            </w:r>
          </w:p>
        </w:tc>
      </w:tr>
      <w:tr w:rsidR="00B148AC" w:rsidRPr="00C77BAE" w:rsidTr="00774B58">
        <w:tc>
          <w:tcPr>
            <w:tcW w:w="2830" w:type="dxa"/>
          </w:tcPr>
          <w:p w:rsidR="00B148AC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порядок и условия досрочного погашения</w:t>
            </w:r>
          </w:p>
        </w:tc>
        <w:tc>
          <w:tcPr>
            <w:tcW w:w="6663" w:type="dxa"/>
          </w:tcPr>
          <w:p w:rsidR="00B148AC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программой не определяются, т.е. устанавливаются в решении о выпуске в зависимости от того, какое досрочное погашение предусмотрено</w:t>
            </w:r>
          </w:p>
        </w:tc>
      </w:tr>
      <w:tr w:rsidR="00B148AC" w:rsidRPr="00C77BAE" w:rsidTr="00774B58">
        <w:tc>
          <w:tcPr>
            <w:tcW w:w="2830" w:type="dxa"/>
          </w:tcPr>
          <w:p w:rsidR="00B148AC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приобретение (выкуп) облигаций</w:t>
            </w:r>
          </w:p>
        </w:tc>
        <w:tc>
          <w:tcPr>
            <w:tcW w:w="6663" w:type="dxa"/>
          </w:tcPr>
          <w:p w:rsidR="00B148AC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программой не определяется, т.е. возможность (и по соглашению с владельцами, и по требованию владельцев) может устанавливаться для отдельных выпусков и тогда конкретные случаи и способы устанавливаются в решении о выпуске</w:t>
            </w:r>
          </w:p>
        </w:tc>
      </w:tr>
      <w:tr w:rsidR="00774B58" w:rsidRPr="00C77BAE" w:rsidTr="00052A75">
        <w:tc>
          <w:tcPr>
            <w:tcW w:w="2830" w:type="dxa"/>
          </w:tcPr>
          <w:p w:rsidR="00774B58" w:rsidRPr="00075CF9" w:rsidRDefault="00774B58" w:rsidP="00052A75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обеспечение</w:t>
            </w:r>
          </w:p>
        </w:tc>
        <w:tc>
          <w:tcPr>
            <w:tcW w:w="6663" w:type="dxa"/>
          </w:tcPr>
          <w:p w:rsidR="00774B58" w:rsidRPr="00C77BAE" w:rsidRDefault="00774B58" w:rsidP="00052A75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не предусмотрено (для всех выпусков)</w:t>
            </w:r>
          </w:p>
        </w:tc>
      </w:tr>
      <w:tr w:rsidR="00774B58" w:rsidRPr="00C77BAE" w:rsidTr="00052A75">
        <w:tc>
          <w:tcPr>
            <w:tcW w:w="2830" w:type="dxa"/>
          </w:tcPr>
          <w:p w:rsidR="00774B58" w:rsidRPr="00075CF9" w:rsidRDefault="00774B58" w:rsidP="00052A75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proofErr w:type="spellStart"/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спецусловия</w:t>
            </w:r>
            <w:proofErr w:type="spellEnd"/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 xml:space="preserve"> для зеленых и социальных облигаций</w:t>
            </w:r>
          </w:p>
        </w:tc>
        <w:tc>
          <w:tcPr>
            <w:tcW w:w="6663" w:type="dxa"/>
          </w:tcPr>
          <w:p w:rsidR="00774B58" w:rsidRPr="00C77BAE" w:rsidRDefault="000D7574" w:rsidP="00052A75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>
              <w:rPr>
                <w:rFonts w:asciiTheme="majorHAnsi" w:eastAsiaTheme="majorEastAsia" w:hAnsiTheme="majorHAnsi" w:cstheme="majorBidi"/>
                <w:iCs/>
                <w:sz w:val="20"/>
              </w:rPr>
              <w:t>п</w:t>
            </w:r>
            <w:r w:rsidR="004D2ADB">
              <w:rPr>
                <w:rFonts w:asciiTheme="majorHAnsi" w:eastAsiaTheme="majorEastAsia" w:hAnsiTheme="majorHAnsi" w:cstheme="majorBidi"/>
                <w:iCs/>
                <w:sz w:val="20"/>
              </w:rPr>
              <w:t>рограммой не определяется</w:t>
            </w:r>
            <w:r w:rsidR="00774B58"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, т.е. в решении о выпуске могут указываться специфические характеристики, соответствующие требованиям к зеленым, социальным и прочим облигациям</w:t>
            </w:r>
          </w:p>
        </w:tc>
      </w:tr>
      <w:tr w:rsidR="00B148AC" w:rsidRPr="00C77BAE" w:rsidTr="00774B58">
        <w:tc>
          <w:tcPr>
            <w:tcW w:w="2830" w:type="dxa"/>
          </w:tcPr>
          <w:p w:rsidR="00B148AC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платежный агент</w:t>
            </w:r>
          </w:p>
        </w:tc>
        <w:tc>
          <w:tcPr>
            <w:tcW w:w="6663" w:type="dxa"/>
          </w:tcPr>
          <w:p w:rsidR="00B148AC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C77BAE">
              <w:rPr>
                <w:rFonts w:asciiTheme="majorHAnsi" w:eastAsiaTheme="majorEastAsia" w:hAnsiTheme="majorHAnsi" w:cstheme="majorBidi"/>
                <w:iCs/>
                <w:sz w:val="20"/>
              </w:rPr>
              <w:t>программой не определяется, т.е. может быть предусмотрен для отдельных выпусков</w:t>
            </w:r>
          </w:p>
        </w:tc>
      </w:tr>
      <w:tr w:rsidR="009924C7" w:rsidRPr="00C77BAE" w:rsidTr="00774B58">
        <w:tc>
          <w:tcPr>
            <w:tcW w:w="2830" w:type="dxa"/>
          </w:tcPr>
          <w:p w:rsidR="009924C7" w:rsidRPr="00075CF9" w:rsidRDefault="00075CF9" w:rsidP="00C77BAE">
            <w:pPr>
              <w:rPr>
                <w:rFonts w:asciiTheme="majorHAnsi" w:eastAsiaTheme="majorEastAsia" w:hAnsiTheme="majorHAnsi" w:cstheme="majorBidi"/>
                <w:b/>
                <w:iCs/>
                <w:sz w:val="20"/>
              </w:rPr>
            </w:pPr>
            <w:r w:rsidRPr="00075CF9">
              <w:rPr>
                <w:rFonts w:asciiTheme="majorHAnsi" w:eastAsiaTheme="majorEastAsia" w:hAnsiTheme="majorHAnsi" w:cstheme="majorBidi"/>
                <w:b/>
                <w:iCs/>
                <w:sz w:val="20"/>
              </w:rPr>
              <w:t>регистрация проспекта</w:t>
            </w:r>
          </w:p>
        </w:tc>
        <w:tc>
          <w:tcPr>
            <w:tcW w:w="6663" w:type="dxa"/>
          </w:tcPr>
          <w:p w:rsidR="009924C7" w:rsidRPr="00C77BAE" w:rsidRDefault="00BC254C" w:rsidP="00C77BAE">
            <w:pPr>
              <w:rPr>
                <w:rFonts w:asciiTheme="majorHAnsi" w:eastAsiaTheme="majorEastAsia" w:hAnsiTheme="majorHAnsi" w:cstheme="majorBidi"/>
                <w:iCs/>
                <w:caps/>
                <w:sz w:val="20"/>
              </w:rPr>
            </w:pPr>
            <w:r w:rsidRPr="003B02EE">
              <w:rPr>
                <w:rFonts w:asciiTheme="majorHAnsi" w:eastAsiaTheme="majorEastAsia" w:hAnsiTheme="majorHAnsi" w:cstheme="majorBidi"/>
                <w:iCs/>
                <w:sz w:val="20"/>
              </w:rPr>
              <w:t>программой не определяется (может быть, может не быть)</w:t>
            </w:r>
          </w:p>
        </w:tc>
      </w:tr>
    </w:tbl>
    <w:p w:rsidR="003B02EE" w:rsidRPr="00C77BAE" w:rsidRDefault="003B02EE" w:rsidP="003B02EE">
      <w:pPr>
        <w:pStyle w:val="a4"/>
        <w:spacing w:line="240" w:lineRule="auto"/>
        <w:ind w:left="714"/>
        <w:rPr>
          <w:rFonts w:asciiTheme="majorHAnsi" w:eastAsiaTheme="majorEastAsia" w:hAnsiTheme="majorHAnsi" w:cstheme="majorBidi"/>
          <w:iCs/>
          <w:caps/>
          <w:sz w:val="18"/>
        </w:rPr>
      </w:pPr>
    </w:p>
    <w:sectPr w:rsidR="003B02EE" w:rsidRPr="00C77B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603C01"/>
    <w:multiLevelType w:val="hybridMultilevel"/>
    <w:tmpl w:val="71B6B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7560"/>
    <w:rsid w:val="00075CF9"/>
    <w:rsid w:val="000D7574"/>
    <w:rsid w:val="001E3503"/>
    <w:rsid w:val="002556B8"/>
    <w:rsid w:val="003B02EE"/>
    <w:rsid w:val="004D2ADB"/>
    <w:rsid w:val="005E5B62"/>
    <w:rsid w:val="00637560"/>
    <w:rsid w:val="0066049F"/>
    <w:rsid w:val="00690BA7"/>
    <w:rsid w:val="006A4E8C"/>
    <w:rsid w:val="00712F29"/>
    <w:rsid w:val="00774B58"/>
    <w:rsid w:val="007D70DA"/>
    <w:rsid w:val="009924C7"/>
    <w:rsid w:val="009F5E5C"/>
    <w:rsid w:val="00A74413"/>
    <w:rsid w:val="00B148AC"/>
    <w:rsid w:val="00BC254C"/>
    <w:rsid w:val="00C77BAE"/>
    <w:rsid w:val="00E8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C7CF13"/>
  <w15:chartTrackingRefBased/>
  <w15:docId w15:val="{63006173-BDA7-4688-877C-1EBF464D1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7560"/>
    <w:pPr>
      <w:spacing w:after="0"/>
    </w:pPr>
    <w:rPr>
      <w:rFonts w:ascii="Times New Roman" w:hAnsi="Times New Roman"/>
    </w:rPr>
  </w:style>
  <w:style w:type="paragraph" w:styleId="3">
    <w:name w:val="heading 3"/>
    <w:basedOn w:val="a"/>
    <w:link w:val="30"/>
    <w:uiPriority w:val="9"/>
    <w:unhideWhenUsed/>
    <w:qFormat/>
    <w:rsid w:val="00637560"/>
    <w:pPr>
      <w:keepNext/>
      <w:keepLines/>
      <w:pBdr>
        <w:bottom w:val="single" w:sz="48" w:space="1" w:color="FF0508"/>
      </w:pBdr>
      <w:spacing w:before="600" w:after="160"/>
      <w:contextualSpacing/>
      <w:outlineLvl w:val="2"/>
    </w:pPr>
    <w:rPr>
      <w:rFonts w:asciiTheme="majorHAnsi" w:eastAsiaTheme="majorEastAsia" w:hAnsiTheme="majorHAnsi" w:cstheme="majorBidi"/>
      <w:b/>
      <w:cap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37560"/>
    <w:rPr>
      <w:rFonts w:asciiTheme="majorHAnsi" w:eastAsiaTheme="majorEastAsia" w:hAnsiTheme="majorHAnsi" w:cstheme="majorBidi"/>
      <w:b/>
      <w:caps/>
      <w:sz w:val="32"/>
      <w:szCs w:val="24"/>
    </w:rPr>
  </w:style>
  <w:style w:type="table" w:styleId="a3">
    <w:name w:val="Table Grid"/>
    <w:basedOn w:val="a1"/>
    <w:uiPriority w:val="39"/>
    <w:rsid w:val="009924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90B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MOEX</Company>
  <LinksUpToDate>false</LinksUpToDate>
  <CharactersWithSpaces>3056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Сулейманова Регина Эдуардовна</dc:creator>
  <cp:keywords/>
  <dc:description/>
  <cp:lastModifiedBy>Сулейманова Регина Эдуардовна</cp:lastModifiedBy>
  <cp:revision>3</cp:revision>
  <dcterms:created xsi:type="dcterms:W3CDTF">2025-05-26T18:04:00Z</dcterms:created>
  <dcterms:modified xsi:type="dcterms:W3CDTF">2025-06-02T12:32:00Z</dcterms:modified>
</cp:coreProperties>
</file>